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spacing w:line="580" w:lineRule="exact"/>
        <w:jc w:val="left"/>
        <w:rPr>
          <w:rFonts w:hint="eastAsia" w:ascii="黑体" w:hAnsi="黑体" w:eastAsia="黑体" w:cs="黑体"/>
          <w:sz w:val="32"/>
          <w:szCs w:val="32"/>
          <w:lang w:val="en-US" w:eastAsia="zh-CN"/>
        </w:rPr>
      </w:pPr>
      <w:bookmarkStart w:id="4" w:name="_GoBack"/>
      <w:bookmarkEnd w:id="4"/>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玉林市关于推进海绵城市建设的实施意见</w:t>
      </w:r>
    </w:p>
    <w:p>
      <w:pPr>
        <w:spacing w:line="58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（征求意见稿）</w:t>
      </w:r>
    </w:p>
    <w:p>
      <w:pPr>
        <w:spacing w:line="580" w:lineRule="exact"/>
        <w:ind w:firstLine="640" w:firstLineChars="200"/>
        <w:rPr>
          <w:rFonts w:ascii="FangSong_GB2312" w:hAnsi="FangSong_GB2312" w:eastAsia="FangSong_GB2312" w:cs="FangSong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海绵城市建设是党中央、国务院作出的重大决策,是推进生态文明建设、践行绿色发展理念、提高人居生活品质的重要抓手,是缓解城市内涝、促进雨水资源利用的有效手段。为加快我市海绵城市建设进程，按照《国务院办公厅关于推进海绵城市建设的指导意见》（国办发〔2015〕75号），财政部办公厅、住建部办公厅、水利部办公厅《关于开展“十四五”第二批系统化全域推进海绵城市建设示范工作的通知》（财办建〔2022〕28号）和《广西壮族自治区人民政府办公厅关于推进全区海绵城市建设的通知》（桂政办发〔2016〕60号）《2020年广西海绵城市建设实施方案》要求，结合我市实际，制定本实施意见。</w:t>
      </w:r>
    </w:p>
    <w:p>
      <w:pPr>
        <w:spacing w:line="580" w:lineRule="exact"/>
        <w:ind w:firstLine="640" w:firstLineChars="200"/>
        <w:rPr>
          <w:rFonts w:ascii="SimHei" w:hAnsi="SimHei" w:eastAsia="SimHei" w:cs="SimHei"/>
          <w:sz w:val="32"/>
          <w:szCs w:val="32"/>
        </w:rPr>
      </w:pPr>
      <w:r>
        <w:rPr>
          <w:rFonts w:hint="eastAsia" w:ascii="黑体" w:hAnsi="黑体" w:eastAsia="黑体" w:cs="黑体"/>
          <w:sz w:val="32"/>
          <w:szCs w:val="32"/>
        </w:rPr>
        <w:t>一、目标任务</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面加强海绵城市建设，以治理城市内涝、水环境提升、雨水收集利用为突破口，坚持简约适用、因地制宜的原则，综合采取“渗、滞、蓄、净、用、排”等措施，最大限度地减少城市开发建设对生态环境的影响，将70%以上的降雨就地消纳和利用，逐步实现小雨不积水、大雨不内涝、热岛有缓解，最终形成具有自然积存、自然渗透、自然净化功能的海绵城市，全面提高城市的排水防涝和防灾减灾能力。</w:t>
      </w:r>
    </w:p>
    <w:p>
      <w:pPr>
        <w:spacing w:line="580" w:lineRule="exact"/>
        <w:ind w:firstLine="640" w:firstLineChars="200"/>
        <w:rPr>
          <w:rFonts w:ascii="仿宋_GB2312" w:hAnsi="仿宋_GB2312" w:eastAsia="仿宋_GB2312" w:cs="仿宋_GB2312"/>
          <w:sz w:val="32"/>
          <w:szCs w:val="32"/>
        </w:rPr>
      </w:pPr>
      <w:bookmarkStart w:id="0" w:name="bookmark9"/>
      <w:r>
        <w:rPr>
          <w:rFonts w:hint="eastAsia" w:ascii="楷体_GB2312" w:hAnsi="楷体_GB2312" w:eastAsia="楷体_GB2312" w:cs="楷体_GB2312"/>
          <w:sz w:val="32"/>
          <w:szCs w:val="32"/>
        </w:rPr>
        <w:t>（</w:t>
      </w:r>
      <w:bookmarkEnd w:id="0"/>
      <w:r>
        <w:rPr>
          <w:rFonts w:hint="eastAsia" w:ascii="楷体_GB2312" w:hAnsi="楷体_GB2312" w:eastAsia="楷体_GB2312" w:cs="楷体_GB2312"/>
          <w:sz w:val="32"/>
          <w:szCs w:val="32"/>
        </w:rPr>
        <w:t>一）近期目标</w:t>
      </w:r>
      <w:r>
        <w:rPr>
          <w:rFonts w:hint="eastAsia" w:ascii="楷体_GB2312" w:hAnsi="楷体_GB2312" w:eastAsia="楷体_GB2312" w:cs="楷体_GB2312"/>
          <w:sz w:val="32"/>
          <w:szCs w:val="32"/>
          <w:lang w:val="zh-CN"/>
        </w:rPr>
        <w:t>（2022</w:t>
      </w:r>
      <w:r>
        <w:rPr>
          <w:rFonts w:hint="eastAsia" w:ascii="楷体_GB2312" w:hAnsi="楷体_GB2312" w:eastAsia="楷体_GB2312" w:cs="楷体_GB2312"/>
          <w:sz w:val="32"/>
          <w:szCs w:val="32"/>
        </w:rPr>
        <w:t>年--2025年）。</w:t>
      </w:r>
      <w:r>
        <w:rPr>
          <w:rFonts w:hint="eastAsia" w:ascii="仿宋_GB2312" w:hAnsi="仿宋_GB2312" w:eastAsia="仿宋_GB2312" w:cs="仿宋_GB2312"/>
          <w:sz w:val="32"/>
          <w:szCs w:val="32"/>
        </w:rPr>
        <w:t>编制（修订）海绵城市专项规划、实施方案，在城市规划新开发片区以目标为导向，开展系统化海绵城市建设，改扩建小区、道路、公园、广场、绿地等；以问题为导向，按</w:t>
      </w:r>
      <w:r>
        <w:rPr>
          <w:rFonts w:hint="eastAsia" w:ascii="仿宋_GB2312" w:hAnsi="仿宋_GB2312" w:eastAsia="仿宋_GB2312" w:cs="仿宋_GB2312"/>
          <w:sz w:val="32"/>
          <w:szCs w:val="32"/>
          <w:lang w:val="zh-CN"/>
        </w:rPr>
        <w:t>“海</w:t>
      </w:r>
      <w:r>
        <w:rPr>
          <w:rFonts w:hint="eastAsia" w:ascii="仿宋_GB2312" w:hAnsi="仿宋_GB2312" w:eastAsia="仿宋_GB2312" w:cs="仿宋_GB2312"/>
          <w:sz w:val="32"/>
          <w:szCs w:val="32"/>
        </w:rPr>
        <w:t>绵城市</w:t>
      </w:r>
      <w:r>
        <w:rPr>
          <w:rFonts w:hint="eastAsia" w:ascii="仿宋_GB2312" w:hAnsi="仿宋_GB2312" w:eastAsia="仿宋_GB2312" w:cs="仿宋_GB2312"/>
          <w:sz w:val="32"/>
          <w:szCs w:val="32"/>
          <w:lang w:val="zh-CN"/>
        </w:rPr>
        <w:t>”建设</w:t>
      </w:r>
      <w:r>
        <w:rPr>
          <w:rFonts w:hint="eastAsia" w:ascii="仿宋_GB2312" w:hAnsi="仿宋_GB2312" w:eastAsia="仿宋_GB2312" w:cs="仿宋_GB2312"/>
          <w:sz w:val="32"/>
          <w:szCs w:val="32"/>
        </w:rPr>
        <w:t>标准逐步实施改造，持续推进内涝积水点整治、雨污分流改造、水环境综合治理等工程，积极</w:t>
      </w:r>
      <w:r>
        <w:rPr>
          <w:rFonts w:hint="eastAsia" w:ascii="仿宋_GB2312" w:hAnsi="仿宋_GB2312" w:eastAsia="仿宋_GB2312" w:cs="仿宋_GB2312"/>
          <w:kern w:val="0"/>
          <w:sz w:val="32"/>
          <w:szCs w:val="32"/>
          <w:shd w:val="clear" w:color="auto" w:fill="FFFFFF"/>
        </w:rPr>
        <w:t>申报国家系统化全域推进海绵城市建设示范城市，</w:t>
      </w:r>
      <w:r>
        <w:rPr>
          <w:rFonts w:hint="eastAsia" w:ascii="仿宋_GB2312" w:hAnsi="仿宋_GB2312" w:eastAsia="仿宋_GB2312" w:cs="仿宋_GB2312"/>
          <w:sz w:val="32"/>
          <w:szCs w:val="32"/>
        </w:rPr>
        <w:t>到2025年，</w:t>
      </w:r>
      <w:r>
        <w:rPr>
          <w:rFonts w:hint="eastAsia" w:ascii="仿宋_GB2312" w:hAnsi="仿宋_GB2312" w:eastAsia="仿宋_GB2312" w:cs="仿宋_GB2312"/>
          <w:kern w:val="0"/>
          <w:sz w:val="32"/>
          <w:szCs w:val="32"/>
          <w:shd w:val="clear" w:color="auto" w:fill="FFFFFF"/>
        </w:rPr>
        <w:t>力争</w:t>
      </w:r>
      <w:r>
        <w:rPr>
          <w:rFonts w:hint="eastAsia" w:ascii="仿宋_GB2312" w:hAnsi="仿宋_GB2312" w:eastAsia="仿宋_GB2312" w:cs="仿宋_GB2312"/>
          <w:sz w:val="32"/>
          <w:szCs w:val="32"/>
        </w:rPr>
        <w:t>城市建成区50%以上的面积达到海绵城市建设目标要求。</w:t>
      </w:r>
    </w:p>
    <w:p>
      <w:pPr>
        <w:spacing w:line="580" w:lineRule="exact"/>
        <w:ind w:firstLine="640" w:firstLineChars="200"/>
        <w:rPr>
          <w:rFonts w:ascii="仿宋_GB2312" w:hAnsi="仿宋_GB2312" w:eastAsia="仿宋_GB2312" w:cs="仿宋_GB2312"/>
          <w:sz w:val="32"/>
          <w:szCs w:val="32"/>
        </w:rPr>
      </w:pPr>
      <w:bookmarkStart w:id="1" w:name="bookmark10"/>
      <w:r>
        <w:rPr>
          <w:rFonts w:hint="eastAsia" w:ascii="楷体_GB2312" w:hAnsi="楷体_GB2312" w:eastAsia="楷体_GB2312" w:cs="楷体_GB2312"/>
          <w:sz w:val="32"/>
          <w:szCs w:val="32"/>
        </w:rPr>
        <w:t>（</w:t>
      </w:r>
      <w:bookmarkEnd w:id="1"/>
      <w:r>
        <w:rPr>
          <w:rFonts w:hint="eastAsia" w:ascii="楷体_GB2312" w:hAnsi="楷体_GB2312" w:eastAsia="楷体_GB2312" w:cs="楷体_GB2312"/>
          <w:sz w:val="32"/>
          <w:szCs w:val="32"/>
        </w:rPr>
        <w:t>二）远期目标（2026年--2030年）。</w:t>
      </w:r>
      <w:r>
        <w:rPr>
          <w:rFonts w:hint="eastAsia" w:ascii="仿宋_GB2312" w:hAnsi="仿宋_GB2312" w:eastAsia="仿宋_GB2312" w:cs="仿宋_GB2312"/>
          <w:sz w:val="32"/>
          <w:szCs w:val="32"/>
        </w:rPr>
        <w:t xml:space="preserve">按照海绵城市规划要求，持续开展各项建设和改造工作，全面落实国家对城市建成区 </w:t>
      </w:r>
      <w:r>
        <w:rPr>
          <w:rFonts w:hint="eastAsia" w:ascii="仿宋_GB2312" w:hAnsi="仿宋_GB2312" w:eastAsia="仿宋_GB2312" w:cs="仿宋_GB2312"/>
          <w:sz w:val="32"/>
          <w:szCs w:val="32"/>
          <w:lang w:val="zh-CN"/>
        </w:rPr>
        <w:t>“海</w:t>
      </w:r>
      <w:r>
        <w:rPr>
          <w:rFonts w:hint="eastAsia" w:ascii="仿宋_GB2312" w:hAnsi="仿宋_GB2312" w:eastAsia="仿宋_GB2312" w:cs="仿宋_GB2312"/>
          <w:sz w:val="32"/>
          <w:szCs w:val="32"/>
        </w:rPr>
        <w:t>绵城市</w:t>
      </w:r>
      <w:r>
        <w:rPr>
          <w:rFonts w:hint="eastAsia" w:ascii="仿宋_GB2312" w:hAnsi="仿宋_GB2312" w:eastAsia="仿宋_GB2312" w:cs="仿宋_GB2312"/>
          <w:sz w:val="32"/>
          <w:szCs w:val="32"/>
          <w:lang w:val="zh-CN"/>
        </w:rPr>
        <w:t>”建设</w:t>
      </w:r>
      <w:r>
        <w:rPr>
          <w:rFonts w:hint="eastAsia" w:ascii="仿宋_GB2312" w:hAnsi="仿宋_GB2312" w:eastAsia="仿宋_GB2312" w:cs="仿宋_GB2312"/>
          <w:sz w:val="32"/>
          <w:szCs w:val="32"/>
        </w:rPr>
        <w:t>标准。到2030年，力争城市建成区80%以上的面积达到海绵城市建设目标要求。</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二、工作原则</w:t>
      </w:r>
    </w:p>
    <w:p>
      <w:pPr>
        <w:spacing w:line="580" w:lineRule="exact"/>
        <w:ind w:firstLine="640" w:firstLineChars="200"/>
        <w:rPr>
          <w:rFonts w:ascii="FangSong_GB2312" w:hAnsi="FangSong_GB2312" w:eastAsia="FangSong_GB2312" w:cs="FangSong_GB2312"/>
          <w:sz w:val="32"/>
          <w:szCs w:val="32"/>
        </w:rPr>
      </w:pPr>
      <w:r>
        <w:rPr>
          <w:rFonts w:hint="eastAsia" w:ascii="楷体_GB2312" w:hAnsi="楷体_GB2312" w:eastAsia="楷体_GB2312" w:cs="楷体_GB2312"/>
          <w:sz w:val="32"/>
          <w:szCs w:val="32"/>
        </w:rPr>
        <w:t>（一）规划引领，统筹实施。</w:t>
      </w:r>
      <w:r>
        <w:rPr>
          <w:rFonts w:hint="eastAsia" w:ascii="仿宋_GB2312" w:hAnsi="仿宋_GB2312" w:eastAsia="仿宋_GB2312" w:cs="仿宋_GB2312"/>
          <w:sz w:val="32"/>
          <w:szCs w:val="32"/>
        </w:rPr>
        <w:t>按照海绵城市建设理念，因地制宜确定海绵城市建设目标和具体指标，完善海绵城市专项规划和技术标准规范，国土空间规划、相关（专项）专业规划及详细规划要全面落实海绵城市建设理念，科学划定城市蓝线和绿线，有效保护城市河湖水系自然生态空间，严格落实海绵城市指标体系，充分发挥规划的控制和引领作用。</w:t>
      </w:r>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（二）总体布局，系统治理。</w:t>
      </w:r>
      <w:r>
        <w:rPr>
          <w:rFonts w:hint="eastAsia" w:ascii="仿宋_GB2312" w:hAnsi="仿宋_GB2312" w:eastAsia="仿宋_GB2312" w:cs="仿宋_GB2312"/>
          <w:sz w:val="32"/>
          <w:szCs w:val="32"/>
        </w:rPr>
        <w:t>统筹安排全市海绵城市低影响开发雨水系统建设的目标、策略和建设时序，重点考虑城市内涝治理、雨水径流污染和雨水集蓄利用等问题，最大限度利用雨水资源，统筹解决发展中面临的水安全、水环境、水资源、水生态和水文化等问题，确保城市对洪涝等灾害有足够的应对能力，推动城市源头、中途、末端的全方位系统治理。</w:t>
      </w:r>
    </w:p>
    <w:p>
      <w:pPr>
        <w:spacing w:line="580" w:lineRule="exact"/>
        <w:ind w:firstLine="640" w:firstLineChars="200"/>
        <w:rPr>
          <w:rFonts w:ascii="仿宋_GB2312" w:hAnsi="仿宋_GB2312" w:eastAsia="仿宋_GB2312" w:cs="仿宋_GB2312"/>
          <w:sz w:val="32"/>
          <w:szCs w:val="32"/>
        </w:rPr>
      </w:pPr>
      <w:bookmarkStart w:id="2" w:name="bookmark13"/>
      <w:r>
        <w:rPr>
          <w:rFonts w:hint="eastAsia" w:ascii="楷体_GB2312" w:hAnsi="楷体_GB2312" w:eastAsia="楷体_GB2312" w:cs="楷体_GB2312"/>
          <w:sz w:val="32"/>
          <w:szCs w:val="32"/>
        </w:rPr>
        <w:t>（</w:t>
      </w:r>
      <w:bookmarkEnd w:id="2"/>
      <w:r>
        <w:rPr>
          <w:rFonts w:hint="eastAsia" w:ascii="楷体_GB2312" w:hAnsi="楷体_GB2312" w:eastAsia="楷体_GB2312" w:cs="楷体_GB2312"/>
          <w:sz w:val="32"/>
          <w:szCs w:val="32"/>
        </w:rPr>
        <w:t>三）坚持政府引导、社会参与。</w:t>
      </w:r>
      <w:r>
        <w:rPr>
          <w:rFonts w:hint="eastAsia" w:ascii="仿宋_GB2312" w:hAnsi="仿宋_GB2312" w:eastAsia="仿宋_GB2312" w:cs="仿宋_GB2312"/>
          <w:sz w:val="32"/>
          <w:szCs w:val="32"/>
        </w:rPr>
        <w:t>发挥市场在资源配置中的决定性作用和政府的调控引导作用，加大政策支持力度，营造良好发展环境。积极推广政府和社会资本合作（PPP、EOD）等模式，吸引社会资本广泛参与海绵城市建设。</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三、重点任务</w:t>
      </w:r>
    </w:p>
    <w:p>
      <w:pPr>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（一）制定规划标准</w:t>
      </w:r>
    </w:p>
    <w:p>
      <w:pPr>
        <w:spacing w:line="580" w:lineRule="exact"/>
        <w:ind w:firstLine="642" w:firstLineChars="200"/>
        <w:rPr>
          <w:rFonts w:ascii="楷体_GB2312" w:hAnsi="楷体_GB2312" w:eastAsia="楷体_GB2312" w:cs="楷体_GB2312"/>
          <w:sz w:val="32"/>
          <w:szCs w:val="32"/>
        </w:rPr>
      </w:pPr>
      <w:r>
        <w:rPr>
          <w:rFonts w:hint="eastAsia" w:ascii="仿宋_GB2312" w:hAnsi="仿宋_GB2312" w:eastAsia="仿宋_GB2312" w:cs="仿宋_GB2312"/>
          <w:b/>
          <w:bCs/>
          <w:sz w:val="32"/>
          <w:szCs w:val="32"/>
        </w:rPr>
        <w:t>1.科学编制和落实规划。</w:t>
      </w:r>
      <w:r>
        <w:rPr>
          <w:rFonts w:hint="eastAsia" w:ascii="仿宋_GB2312" w:hAnsi="仿宋_GB2312" w:eastAsia="仿宋_GB2312" w:cs="仿宋_GB2312"/>
          <w:sz w:val="32"/>
          <w:szCs w:val="32"/>
        </w:rPr>
        <w:t>将海绵城市建设要求纳入城市规划体系，在国土空间规划及各类专项规划中明确控制与引导内容。制定统筹推进海绵城市、防洪排涝、污水提质增效等方面建设的系统化实施方案，修编《玉林市海绵城市专项规划》。开展城市内涝风险评估工作，针对内涝防治标准，编制内涝治理系统化实施方案，提出积水点整治方案。加强与其他规划的协调与融合，合理确定目标指标，提出海绵城市建设系统化实施策略、重点实施区域和具体方案，有条件的片区编制海绵城市详细规划。</w:t>
      </w:r>
      <w:r>
        <w:rPr>
          <w:rFonts w:hint="eastAsia" w:ascii="FangSong_GB2312" w:hAnsi="FangSong_GB2312" w:eastAsia="FangSong_GB2312" w:cs="FangSong_GB2312"/>
          <w:sz w:val="32"/>
          <w:szCs w:val="32"/>
        </w:rPr>
        <w:t>（</w:t>
      </w:r>
      <w:r>
        <w:rPr>
          <w:rFonts w:hint="eastAsia" w:ascii="楷体_GB2312" w:hAnsi="楷体_GB2312" w:eastAsia="楷体_GB2312" w:cs="楷体_GB2312"/>
          <w:sz w:val="32"/>
          <w:szCs w:val="32"/>
        </w:rPr>
        <w:t>牵头单位</w:t>
      </w:r>
      <w:r>
        <w:rPr>
          <w:rFonts w:hint="eastAsia" w:ascii="FangSong_GB2312" w:hAnsi="FangSong_GB2312" w:eastAsia="FangSong_GB2312" w:cs="FangSong_GB2312"/>
          <w:sz w:val="32"/>
          <w:szCs w:val="32"/>
        </w:rPr>
        <w:t>：</w:t>
      </w:r>
      <w:r>
        <w:rPr>
          <w:rFonts w:hint="eastAsia" w:ascii="楷体_GB2312" w:hAnsi="楷体_GB2312" w:eastAsia="楷体_GB2312" w:cs="楷体_GB2312"/>
          <w:sz w:val="32"/>
          <w:szCs w:val="32"/>
        </w:rPr>
        <w:t>市自然资源局；责任单位：市住房和城乡建设局、市城市管理监督局、市水利局、市林业局、市生态环境局、市科技局，玉州区人民政府、福绵区人民政府、玉东新区管委）</w:t>
      </w:r>
    </w:p>
    <w:p>
      <w:pPr>
        <w:spacing w:line="580" w:lineRule="exact"/>
        <w:ind w:firstLine="642" w:firstLineChars="200"/>
        <w:rPr>
          <w:rFonts w:ascii="楷体_GB2312" w:hAnsi="楷体_GB2312" w:eastAsia="楷体_GB2312" w:cs="楷体_GB2312"/>
          <w:sz w:val="32"/>
          <w:szCs w:val="32"/>
        </w:rPr>
      </w:pPr>
      <w:r>
        <w:rPr>
          <w:rFonts w:hint="eastAsia" w:ascii="仿宋_GB2312" w:hAnsi="仿宋_GB2312" w:eastAsia="仿宋_GB2312" w:cs="仿宋_GB2312"/>
          <w:b/>
          <w:bCs/>
          <w:sz w:val="32"/>
          <w:szCs w:val="32"/>
        </w:rPr>
        <w:t>2.制定标准规范。</w:t>
      </w:r>
      <w:r>
        <w:rPr>
          <w:rFonts w:hint="eastAsia" w:ascii="仿宋_GB2312" w:hAnsi="仿宋_GB2312" w:eastAsia="仿宋_GB2312" w:cs="仿宋_GB2312"/>
          <w:sz w:val="32"/>
          <w:szCs w:val="32"/>
        </w:rPr>
        <w:t>加快编制及修订符合我市实际情况的海绵城市建设地方标准规范及技术导则，突出海绵城市建设的技术性要求和关键性内容，形成强有力地规划、设计、施工、运维等地方技术标准体系，指导项目全过程落地。</w:t>
      </w:r>
      <w:r>
        <w:rPr>
          <w:rFonts w:hint="eastAsia" w:ascii="楷体_GB2312" w:hAnsi="楷体_GB2312" w:eastAsia="楷体_GB2312" w:cs="楷体_GB2312"/>
          <w:sz w:val="32"/>
          <w:szCs w:val="32"/>
        </w:rPr>
        <w:t>（</w:t>
      </w:r>
      <w:r>
        <w:rPr>
          <w:rFonts w:hint="eastAsia" w:ascii="楷体_GB2312" w:hAnsi="楷体_GB2312" w:eastAsia="楷体_GB2312" w:cs="楷体_GB2312"/>
          <w:color w:val="000000" w:themeColor="text1"/>
          <w:sz w:val="32"/>
          <w:szCs w:val="32"/>
          <w14:textFill>
            <w14:solidFill>
              <w14:schemeClr w14:val="tx1"/>
            </w14:solidFill>
          </w14:textFill>
        </w:rPr>
        <w:t>牵头单位：市住房和城乡建设局，责任单位：市自然资源局、市</w:t>
      </w:r>
      <w:r>
        <w:rPr>
          <w:rFonts w:hint="eastAsia" w:ascii="楷体_GB2312" w:hAnsi="楷体_GB2312" w:eastAsia="楷体_GB2312" w:cs="楷体_GB2312"/>
          <w:sz w:val="32"/>
          <w:szCs w:val="32"/>
        </w:rPr>
        <w:t>科技局）</w:t>
      </w:r>
    </w:p>
    <w:p>
      <w:pPr>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（二）持续推进建设</w:t>
      </w:r>
    </w:p>
    <w:p>
      <w:pPr>
        <w:spacing w:line="580" w:lineRule="exact"/>
        <w:ind w:firstLine="642" w:firstLineChars="200"/>
        <w:rPr>
          <w:rFonts w:ascii="楷体_GB2312" w:hAnsi="楷体_GB2312" w:eastAsia="楷体_GB2312" w:cs="楷体_GB2312"/>
          <w:sz w:val="32"/>
          <w:szCs w:val="32"/>
        </w:rPr>
      </w:pPr>
      <w:r>
        <w:rPr>
          <w:rFonts w:hint="eastAsia" w:ascii="仿宋_GB2312" w:hAnsi="仿宋_GB2312" w:eastAsia="仿宋_GB2312" w:cs="仿宋_GB2312"/>
          <w:b/>
          <w:bCs/>
          <w:sz w:val="32"/>
          <w:szCs w:val="32"/>
        </w:rPr>
        <w:t>1.推进海绵型道路、广场建设。</w:t>
      </w:r>
      <w:r>
        <w:rPr>
          <w:rFonts w:hint="eastAsia" w:ascii="仿宋_GB2312" w:hAnsi="仿宋_GB2312" w:eastAsia="仿宋_GB2312" w:cs="仿宋_GB2312"/>
          <w:sz w:val="32"/>
          <w:szCs w:val="32"/>
        </w:rPr>
        <w:t>转变道路和广场建设的排水方式，提高城市道路和广场对雨水的渗、滞、蓄能力，减轻市政排水系统的压力。已建道路和广场通过路缘石改造和增加植草沟、溢流口等方式将道路径流引到绿地空间。新建及改造道路的绿化隔离带和两侧绿化带要因地制宜运用生物滞留设施、植草沟、卵石沟等多种形式的低影响设施，消纳道路及周边地块雨水径流，控制径流污染。非机动车道、人行道和广场、停车场推荐使用透水铺装,增加雨水自然渗透。城市广场宜采用下沉式布局，配套建设雨水调蓄设施，推行广场雨水的收集、净化和利用。</w:t>
      </w:r>
      <w:r>
        <w:rPr>
          <w:rFonts w:hint="eastAsia" w:ascii="楷体_GB2312" w:hAnsi="楷体_GB2312" w:eastAsia="楷体_GB2312" w:cs="楷体_GB2312"/>
          <w:color w:val="000000" w:themeColor="text1"/>
          <w:sz w:val="32"/>
          <w:szCs w:val="32"/>
          <w14:textFill>
            <w14:solidFill>
              <w14:schemeClr w14:val="tx1"/>
            </w14:solidFill>
          </w14:textFill>
        </w:rPr>
        <w:t>（牵头单位：市城市管理监督局；责任单位：市住房和城乡建设局、</w:t>
      </w:r>
      <w:r>
        <w:rPr>
          <w:rFonts w:hint="eastAsia" w:ascii="楷体_GB2312" w:hAnsi="楷体_GB2312" w:eastAsia="楷体_GB2312" w:cs="楷体_GB2312"/>
          <w:sz w:val="32"/>
          <w:szCs w:val="32"/>
        </w:rPr>
        <w:t>市园林服务中心、市水利局、市生态环境局、市财政局，玉州区人民政府、福绵区人民政府、玉东新区管委）</w:t>
      </w:r>
    </w:p>
    <w:p>
      <w:pPr>
        <w:spacing w:line="580" w:lineRule="exact"/>
        <w:ind w:firstLine="642" w:firstLineChars="200"/>
        <w:rPr>
          <w:rFonts w:ascii="FangSong_GB2312" w:hAnsi="FangSong_GB2312" w:eastAsia="FangSong_GB2312" w:cs="FangSong_GB2312"/>
          <w:sz w:val="32"/>
          <w:szCs w:val="32"/>
        </w:rPr>
      </w:pPr>
      <w:r>
        <w:rPr>
          <w:rFonts w:hint="eastAsia" w:ascii="仿宋_GB2312" w:hAnsi="仿宋_GB2312" w:eastAsia="仿宋_GB2312" w:cs="仿宋_GB2312"/>
          <w:b/>
          <w:bCs/>
          <w:sz w:val="32"/>
          <w:szCs w:val="32"/>
        </w:rPr>
        <w:t>2.推进海绵公园绿地建设。</w:t>
      </w:r>
      <w:r>
        <w:rPr>
          <w:rFonts w:hint="eastAsia" w:ascii="仿宋_GB2312" w:hAnsi="仿宋_GB2312" w:eastAsia="仿宋_GB2312" w:cs="仿宋_GB2312"/>
          <w:sz w:val="32"/>
          <w:szCs w:val="32"/>
        </w:rPr>
        <w:t>城市公园绿地系统在满足生态、景观、游憩等功能的基础上，融入海绵城市理念，既能消纳自身雨水，又能发挥区域雨洪调蓄功能。公园绿地要与城市水系、坑塘相结合，统筹蓝绿线用地、空间和功能；因地制宜建设小微湿地、雨水花园、下沉式绿地、植草沟、雨水塘、透水铺装、多功能调蓄等分散式消纳和集中式调蓄相结合的海绵设施，滞蓄、净化雨水，并利用雨水资源作为绿化灌溉和景观用水，发挥公园绿地的城市海绵体功能。新建公园绿地要全部达到海绵城市建设要求，现有绿地系统要按照海绵城市建设要求合理进行提升改造。</w:t>
      </w:r>
      <w:r>
        <w:rPr>
          <w:rFonts w:hint="eastAsia" w:ascii="楷体_GB2312" w:hAnsi="楷体_GB2312" w:eastAsia="楷体_GB2312" w:cs="楷体_GB2312"/>
          <w:sz w:val="32"/>
          <w:szCs w:val="32"/>
        </w:rPr>
        <w:t>（牵头单位：市园林服务中心；责任单位：</w:t>
      </w:r>
      <w:r>
        <w:rPr>
          <w:rFonts w:hint="eastAsia" w:ascii="楷体_GB2312" w:hAnsi="楷体_GB2312" w:eastAsia="楷体_GB2312" w:cs="楷体_GB2312"/>
          <w:color w:val="000000" w:themeColor="text1"/>
          <w:sz w:val="32"/>
          <w:szCs w:val="32"/>
          <w14:textFill>
            <w14:solidFill>
              <w14:schemeClr w14:val="tx1"/>
            </w14:solidFill>
          </w14:textFill>
        </w:rPr>
        <w:t>市自然资源局、</w:t>
      </w:r>
      <w:r>
        <w:rPr>
          <w:rFonts w:hint="eastAsia" w:ascii="楷体_GB2312" w:hAnsi="楷体_GB2312" w:eastAsia="楷体_GB2312" w:cs="楷体_GB2312"/>
          <w:sz w:val="32"/>
          <w:szCs w:val="32"/>
        </w:rPr>
        <w:t>市城市管理监督局、市住房和城乡建设局、市水利局、市生态环境局、市财政局，玉州区人民政府、福绵区人民政府、玉东新区管委）</w:t>
      </w:r>
    </w:p>
    <w:p>
      <w:pPr>
        <w:spacing w:line="580" w:lineRule="exact"/>
        <w:ind w:firstLine="642" w:firstLineChars="200"/>
        <w:rPr>
          <w:rFonts w:ascii="FangSong_GB2312" w:hAnsi="FangSong_GB2312" w:eastAsia="FangSong_GB2312" w:cs="FangSong_GB2312"/>
          <w:sz w:val="32"/>
          <w:szCs w:val="32"/>
        </w:rPr>
      </w:pPr>
      <w:r>
        <w:rPr>
          <w:rFonts w:hint="eastAsia" w:ascii="仿宋_GB2312" w:hAnsi="仿宋_GB2312" w:eastAsia="仿宋_GB2312" w:cs="仿宋_GB2312"/>
          <w:b/>
          <w:bCs/>
          <w:sz w:val="32"/>
          <w:szCs w:val="32"/>
        </w:rPr>
        <w:t>3.推进海绵型建筑与小区建设。</w:t>
      </w:r>
      <w:r>
        <w:rPr>
          <w:rFonts w:hint="eastAsia" w:ascii="仿宋_GB2312" w:hAnsi="仿宋_GB2312" w:eastAsia="仿宋_GB2312" w:cs="仿宋_GB2312"/>
          <w:sz w:val="32"/>
          <w:szCs w:val="32"/>
        </w:rPr>
        <w:t>新建商业住宅小区及政府投资建设的保障性住房、机关、学校、医院、文化体育场馆、交通场站和商业综合体等各类大型公共项目要率先践行海绵城市建设理念，建设过程中要最大限度保护自然水系坑塘，保持地表自然排水系统，降低不透水区域的面积比例。统筹屋面、广场、道路、绿地、水系及排水系统之间的衔接，合理设计竖向，引导雨水有序排放，削减源头雨水径流体积和污染。积极推广小区非机动车道和地面停车场合理采用透水铺装，小区绿地合理布设下沉式绿地、雨水花园、植草沟等低影响开发设施，配套蓄水设施，收集雨水用于绿化灌溉、景观水体补水和道路清洗保洁等。老旧小区改造要同步考虑海绵城市建设，通过绿化增补、铺装修复、排水基础设施提升等措施，综合提升小区排水能力和环境品质。</w:t>
      </w:r>
      <w:r>
        <w:rPr>
          <w:rFonts w:hint="eastAsia" w:ascii="楷体_GB2312" w:hAnsi="楷体_GB2312" w:eastAsia="楷体_GB2312" w:cs="楷体_GB2312"/>
          <w:sz w:val="32"/>
          <w:szCs w:val="32"/>
        </w:rPr>
        <w:t>（牵头单位：市住房和城乡建设局；责任单位：市城市管理监督局、市教育局、市卫健委、市文广体旅局、市交通运输局、市水利局、市生态环境局、市财政局，玉州区人民政府、福绵区人民政府、玉东新区管委）</w:t>
      </w:r>
    </w:p>
    <w:p>
      <w:pPr>
        <w:spacing w:line="580" w:lineRule="exact"/>
        <w:ind w:firstLine="642" w:firstLineChars="200"/>
        <w:rPr>
          <w:rFonts w:ascii="楷体_GB2312" w:hAnsi="楷体_GB2312" w:eastAsia="楷体_GB2312" w:cs="楷体_GB2312"/>
          <w:sz w:val="32"/>
          <w:szCs w:val="32"/>
        </w:rPr>
      </w:pPr>
      <w:r>
        <w:rPr>
          <w:rFonts w:hint="eastAsia" w:ascii="仿宋_GB2312" w:hAnsi="仿宋_GB2312" w:eastAsia="仿宋_GB2312" w:cs="仿宋_GB2312"/>
          <w:b/>
          <w:bCs/>
          <w:sz w:val="32"/>
          <w:szCs w:val="32"/>
        </w:rPr>
        <w:t>4.加强生态水系建设。</w:t>
      </w:r>
      <w:r>
        <w:rPr>
          <w:rFonts w:hint="eastAsia" w:ascii="仿宋_GB2312" w:hAnsi="仿宋_GB2312" w:eastAsia="仿宋_GB2312" w:cs="仿宋_GB2312"/>
          <w:sz w:val="32"/>
          <w:szCs w:val="32"/>
        </w:rPr>
        <w:t>加强对城市河流、湖泊、水库、湿地、坑塘、沟渠等水生态敏感区的保护和恢复，禁止填湖造地、截弯取直、河道硬化等破坏水生态环境的建设行为。恢复河湖水系的自然连通，加强蓝、绿、灰基础设施协同效应，构建城市良性水循环。通过保护蓝线空间和过水断面，闸坝、泵站的合理调控，充分发挥城市水系的排水防涝功能，与市政排水系统协同作用，达到城市内涝治理标准，并合理收集利用雨水。通过生态保护与修复，逐步改善水环境与水生态系统，营造生物多样性生存环境，建设流域区域生态廊道系统。</w:t>
      </w:r>
      <w:r>
        <w:rPr>
          <w:rFonts w:hint="eastAsia" w:ascii="楷体_GB2312" w:hAnsi="楷体_GB2312" w:eastAsia="楷体_GB2312" w:cs="楷体_GB2312"/>
          <w:sz w:val="32"/>
          <w:szCs w:val="32"/>
        </w:rPr>
        <w:t>（牵头单位：市水利局；责任单位：市城市管理监督局、市住房和城乡建设局、市生态环境局、市财政局，玉州区人民政府、福绵区人民政府、玉东新区管委）</w:t>
      </w:r>
    </w:p>
    <w:p>
      <w:pPr>
        <w:spacing w:line="580" w:lineRule="exact"/>
        <w:ind w:firstLine="642" w:firstLineChars="200"/>
        <w:rPr>
          <w:rFonts w:ascii="楷体_GB2312" w:hAnsi="楷体_GB2312" w:eastAsia="楷体_GB2312" w:cs="楷体_GB2312"/>
          <w:sz w:val="32"/>
          <w:szCs w:val="32"/>
        </w:rPr>
      </w:pPr>
      <w:r>
        <w:rPr>
          <w:rFonts w:hint="eastAsia" w:ascii="仿宋_GB2312" w:hAnsi="仿宋_GB2312" w:eastAsia="仿宋_GB2312" w:cs="仿宋_GB2312"/>
          <w:b/>
          <w:bCs/>
          <w:sz w:val="32"/>
          <w:szCs w:val="32"/>
        </w:rPr>
        <w:t>5.推进排水防涝系统建设。</w:t>
      </w:r>
      <w:r>
        <w:rPr>
          <w:rFonts w:hint="eastAsia" w:ascii="仿宋_GB2312" w:hAnsi="仿宋_GB2312" w:eastAsia="仿宋_GB2312" w:cs="仿宋_GB2312"/>
          <w:sz w:val="32"/>
          <w:szCs w:val="32"/>
        </w:rPr>
        <w:t>加快推进城市排水防涝设施建设,科学布局建设排水设施和雨水调蓄设施，开展一批内涝治理工程项目，动态消除积水点，达到内涝防治标准，并提升对超标降雨的应急处理能力。加快推进合流制管网雨污分流改造，源头海绵化改造，控制初期雨水污染，削减汛期溢流污染。加强对黑臭水体的排查整治，改善河道水质。加快城镇污水处理设施建设，提高生活污水集中收集率和进厂浓度，确保城区生活污水达标排放。大力推广雨水收集利用和中水回用，促进水资源循环利用。</w:t>
      </w:r>
      <w:r>
        <w:rPr>
          <w:rFonts w:hint="eastAsia" w:ascii="楷体_GB2312" w:hAnsi="楷体_GB2312" w:eastAsia="楷体_GB2312" w:cs="楷体_GB2312"/>
          <w:sz w:val="32"/>
          <w:szCs w:val="32"/>
        </w:rPr>
        <w:t>（牵头单位：市城市管理监督局、市住房和城乡建设局；责任单位：市生态环境局、市水利局、市财政局，玉州区人民政府、福绵区人民政府、玉东新区管委）</w:t>
      </w:r>
    </w:p>
    <w:p>
      <w:pPr>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（三）加强建设管控</w:t>
      </w:r>
    </w:p>
    <w:p>
      <w:pPr>
        <w:spacing w:line="580" w:lineRule="exact"/>
        <w:ind w:firstLine="640" w:firstLineChars="200"/>
        <w:rPr>
          <w:rFonts w:ascii="楷体_GB2312" w:hAnsi="楷体_GB2312" w:eastAsia="楷体_GB2312" w:cs="楷体_GB2312"/>
          <w:sz w:val="32"/>
          <w:szCs w:val="32"/>
        </w:rPr>
      </w:pPr>
      <w:r>
        <w:rPr>
          <w:rFonts w:hint="eastAsia" w:ascii="仿宋_GB2312" w:hAnsi="仿宋_GB2312" w:eastAsia="仿宋_GB2312" w:cs="仿宋_GB2312"/>
          <w:sz w:val="32"/>
          <w:szCs w:val="32"/>
        </w:rPr>
        <w:t>将海绵城市建设要求作为城市规划许可和项目建设的必要条件，保持雨水径流特征在城市开发建设前后相一致。将海绵城市建设要求落实到项目立项、规划许可、施工图审查、施工许可和竣工验收等管控环节，严格履行建设程序，依法办理土地、规划、施工许可等建设手续。</w:t>
      </w:r>
      <w:r>
        <w:rPr>
          <w:rFonts w:hint="eastAsia" w:ascii="楷体_GB2312" w:hAnsi="楷体_GB2312" w:eastAsia="楷体_GB2312" w:cs="楷体_GB2312"/>
          <w:sz w:val="32"/>
          <w:szCs w:val="32"/>
        </w:rPr>
        <w:t>（牵头单位：市自然资源局、市住房和城乡建设局；责任单位：市发展改革委、市城管监督局，玉州区人民政府、福绵区人民政府、玉东新区管委）</w:t>
      </w:r>
    </w:p>
    <w:p>
      <w:pPr>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（四）加强运维管理</w:t>
      </w:r>
    </w:p>
    <w:p>
      <w:pPr>
        <w:spacing w:line="580" w:lineRule="exact"/>
        <w:ind w:firstLine="640" w:firstLineChars="200"/>
        <w:rPr>
          <w:rFonts w:ascii="楷体_GB2312" w:hAnsi="楷体_GB2312" w:eastAsia="楷体_GB2312" w:cs="楷体_GB2312"/>
          <w:sz w:val="32"/>
          <w:szCs w:val="32"/>
        </w:rPr>
      </w:pPr>
      <w:r>
        <w:rPr>
          <w:rFonts w:hint="eastAsia" w:ascii="仿宋_GB2312" w:hAnsi="仿宋_GB2312" w:eastAsia="仿宋_GB2312" w:cs="仿宋_GB2312"/>
          <w:sz w:val="32"/>
          <w:szCs w:val="32"/>
        </w:rPr>
        <w:t>有关行政管理部门应对海绵城市设施的维护效果进行监督。政府投资的海绵城市设施，按照属地管理原则，由项目所在地的有关行政主管部门依职责分工负责维护管理，其经费由各级财政统筹安排；社会投资类项目的海绵城市设施由其产权单位或物业管理单位负责维护管理。</w:t>
      </w:r>
      <w:r>
        <w:rPr>
          <w:rFonts w:hint="eastAsia" w:ascii="楷体_GB2312" w:hAnsi="楷体_GB2312" w:eastAsia="楷体_GB2312" w:cs="楷体_GB2312"/>
          <w:sz w:val="32"/>
          <w:szCs w:val="32"/>
        </w:rPr>
        <w:t>（牵头单位：市城市管理监督局；责任单位：市财政局、市住房和城乡建设局、市水利局，玉州区人民政府、福绵区人民政府、玉东新区管委）</w:t>
      </w:r>
    </w:p>
    <w:p>
      <w:pPr>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（五）加强监测评估</w:t>
      </w:r>
    </w:p>
    <w:p>
      <w:pPr>
        <w:spacing w:line="580" w:lineRule="exact"/>
        <w:ind w:firstLine="640" w:firstLineChars="200"/>
        <w:rPr>
          <w:rFonts w:ascii="楷体_GB2312" w:hAnsi="楷体_GB2312" w:eastAsia="楷体_GB2312" w:cs="楷体_GB2312"/>
          <w:sz w:val="32"/>
          <w:szCs w:val="32"/>
        </w:rPr>
      </w:pPr>
      <w:r>
        <w:rPr>
          <w:rFonts w:hint="eastAsia" w:ascii="仿宋_GB2312" w:hAnsi="仿宋_GB2312" w:eastAsia="仿宋_GB2312" w:cs="仿宋_GB2312"/>
          <w:sz w:val="32"/>
          <w:szCs w:val="32"/>
        </w:rPr>
        <w:t>制定海绵城市建设效果监测评估方案，通过模型分析、采样检测等方式，对海绵设施、建成项目、排水分区和本底条件等进行监测，对海绵城市建设效果进行评估分析。组织年度海绵城市建设自评估工作,跟踪年度海绵城市建设示范城市的实施进展情况，总结评价工作经验，编制形成海绵城市建设评价报告。</w:t>
      </w:r>
      <w:r>
        <w:rPr>
          <w:rFonts w:hint="eastAsia" w:ascii="楷体_GB2312" w:hAnsi="楷体_GB2312" w:eastAsia="楷体_GB2312" w:cs="楷体_GB2312"/>
          <w:sz w:val="32"/>
          <w:szCs w:val="32"/>
        </w:rPr>
        <w:t>（牵头单位：市住房和城乡建设局；责任单位：市水利局、市城市管理监督局、市财政局、市自然资源局）</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四、保障措施</w:t>
      </w:r>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（一）加强组织领导。</w:t>
      </w:r>
      <w:r>
        <w:rPr>
          <w:rFonts w:hint="eastAsia" w:ascii="仿宋_GB2312" w:hAnsi="仿宋_GB2312" w:eastAsia="仿宋_GB2312" w:cs="仿宋_GB2312"/>
          <w:sz w:val="32"/>
          <w:szCs w:val="32"/>
        </w:rPr>
        <w:t>市人民政府切实加强海绵城市建设的组织领导，明确主管部门，完善工作机制，统筹部署海绵城市建设工作，细化各部门职责，形成工作合力。成立玉林市系统化全域推进海绵城市建设领导小组，具体负责研究制定海绵城市建设方针政策、年度计划、考核办法等事项，统筹推进海绵城市建设工作，研究解决工作中的重点难点问题。各责任部门要把海绵城市建设提上重要日程，完善工作机制，明确职责分工，加快落实各项规划建设任务。</w:t>
      </w:r>
      <w:bookmarkStart w:id="3" w:name="bookmark22"/>
      <w:bookmarkEnd w:id="3"/>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（二）项目用地支持。</w:t>
      </w:r>
      <w:r>
        <w:rPr>
          <w:rFonts w:hint="eastAsia" w:ascii="仿宋_GB2312" w:hAnsi="仿宋_GB2312" w:eastAsia="仿宋_GB2312" w:cs="仿宋_GB2312"/>
          <w:sz w:val="32"/>
          <w:szCs w:val="32"/>
        </w:rPr>
        <w:t>在国土空间总体规划编制中研究相关内容，形成海绵城市、城市防洪排涝等专篇。在开发边界划定中，依据水系、绿地等蓝绿空间布局，适当预留特别用途区，为海绵城市、城市防洪排涝建设项目提供用地支持。根据海绵城市、城市防洪排涝建设项目修建计划，及时将海绵城市建设项目列入国土空间规划年度项目表，在编制建设项目用地年度供应计划时，优先将海绵城市、城市防洪排涝建设项目用地纳入供应计划。对于提升城市公共服务水平、完善公共服务能力的海绵城市、城市防洪排涝建设项目用地，符合划拨用地目录的，由政府批准并纳入划拨用地，提供用地保障。</w:t>
      </w:r>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（三）建设资金保障。</w:t>
      </w:r>
      <w:r>
        <w:rPr>
          <w:rFonts w:hint="eastAsia" w:ascii="仿宋_GB2312" w:hAnsi="仿宋_GB2312" w:eastAsia="仿宋_GB2312" w:cs="仿宋_GB2312"/>
          <w:sz w:val="32"/>
          <w:szCs w:val="32"/>
        </w:rPr>
        <w:t>加大对海绵城市建设项目的资金支持及筹措力度，优先考虑城市水系、排水防涝、绿地公园、建筑小区、道路广场、污水系统建设等公共区域的海绵城市基础设施建设项目。建立多元化资金投入机制，拓宽资金渠道，大力争取上级部门奖补资金，鼓励运用政府和社会资本合作模式，引入银行业金融机构、基金公司、民间资本，共同推动海绵城市项目建设。</w:t>
      </w:r>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（四）加强宣传培训。</w:t>
      </w:r>
      <w:r>
        <w:rPr>
          <w:rFonts w:hint="eastAsia" w:ascii="仿宋_GB2312" w:hAnsi="仿宋_GB2312" w:eastAsia="仿宋_GB2312" w:cs="仿宋_GB2312"/>
          <w:sz w:val="32"/>
          <w:szCs w:val="32"/>
        </w:rPr>
        <w:t>加强海绵城市建设宣传，充分利用电视、广播、网络等媒体，组织开展海绵城市专题宣传报道，及时公布海绵城市建设相关信息，确保公众充分享有知情权，营造全社会关心、参与海绵城市建设的良好氛围。做好玉林市海绵城市建设工作的对内和对外宣传。组织专家对玉林市海绵城市建设情况进行指导和培训，学习国内外先进海绵城市示范经验和工程案例，积极推广利用海绵城市建设技术和产品，组织相关人员开展专业技术培训，提高海绵城市规划、建设、管理、维护人员的专业技能。</w:t>
      </w:r>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（五）加强科技支撑。</w:t>
      </w:r>
      <w:r>
        <w:rPr>
          <w:rFonts w:hint="eastAsia" w:ascii="仿宋_GB2312" w:hAnsi="仿宋_GB2312" w:eastAsia="仿宋_GB2312" w:cs="仿宋_GB2312"/>
          <w:sz w:val="32"/>
          <w:szCs w:val="32"/>
        </w:rPr>
        <w:t>开展针对玉林城市特点的海绵城市专项研究，包括城市洪涝风险评估与预警研究、蓝绿灰耦合机制研究、智慧联调联控技术研究、雨水径流净化与回用技术研究、海绵城市建设体制机制创新路径研究等，为玉林市海绵城市建设提供科技支撑。</w:t>
      </w:r>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（六）严格考核评估。</w:t>
      </w:r>
      <w:r>
        <w:rPr>
          <w:rFonts w:hint="eastAsia" w:ascii="仿宋_GB2312" w:hAnsi="仿宋_GB2312" w:eastAsia="仿宋_GB2312" w:cs="仿宋_GB2312"/>
          <w:sz w:val="32"/>
          <w:szCs w:val="32"/>
        </w:rPr>
        <w:t>加强督查考核。要把海绵城市建设推进情况纳入责任部门年度考核范围，由玉林市海绵城市建设领导小组负责起草年度海绵城市建设工作考核指标，结合自治区相关考核内容完善绩效考核评价，科学制定考核标准及考评规范。由市海绵城市建设领导小组采取定期与不定期相结合的方式进行督查，对于发现未按时间节点完成任务、项目推进不力的部门，报市督查绩效办加大督办力度并进行约谈。</w:t>
      </w:r>
    </w:p>
    <w:p/>
    <w:sectPr>
      <w:footerReference r:id="rId3" w:type="default"/>
      <w:pgSz w:w="11906" w:h="16838"/>
      <w:pgMar w:top="2041" w:right="1531" w:bottom="1928" w:left="153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FangSong_GB2312">
    <w:altName w:val="仿宋"/>
    <w:panose1 w:val="00000000000000000000"/>
    <w:charset w:val="00"/>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SimHei">
    <w:panose1 w:val="02010609060101010101"/>
    <w:charset w:val="86"/>
    <w:family w:val="roma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ge">
                <wp:posOffset>9656445</wp:posOffset>
              </wp:positionV>
              <wp:extent cx="457200" cy="9144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457200" cy="91440"/>
                      </a:xfrm>
                      <a:prstGeom prst="rect">
                        <a:avLst/>
                      </a:prstGeom>
                      <a:noFill/>
                      <a:ln>
                        <a:noFill/>
                      </a:ln>
                      <a:effectLst/>
                    </wps:spPr>
                    <wps:txbx>
                      <w:txbxContent>
                        <w:p>
                          <w:pPr>
                            <w:pStyle w:val="6"/>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asciiTheme="minorEastAsia" w:hAnsiTheme="minorEastAsia" w:cstheme="minorEastAsia"/>
                              <w:sz w:val="24"/>
                              <w:szCs w:val="24"/>
                            </w:rPr>
                            <w:t>1</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760.35pt;height:7.2pt;width:36pt;mso-position-horizontal:outside;mso-position-horizontal-relative:margin;mso-position-vertical-relative:page;mso-wrap-style:none;z-index:251660288;mso-width-relative:page;mso-height-relative:page;" filled="f" stroked="f" coordsize="21600,21600" o:gfxdata="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WAAAA&#10;ZHJzL1BLAQIUABQAAAAIAIdO4kC6nnqd1AAAAAkBAAAPAAAAAAAAAAEAIAAAADgAAABkcnMvZG93&#10;bnJldi54bWxQSwECFAAUAAAACACHTuJAK2ksCbUBAABPAwAADgAAAAAAAAABACAAAAA5AQAAZHJz&#10;L2Uyb0RvYy54bWxQSwUGAAAAAAYABgBZAQAAYAUAAAAA&#10;">
              <v:path/>
              <v:fill on="f" focussize="0,0"/>
              <v:stroke on="f" joinstyle="miter"/>
              <v:imagedata o:title=""/>
              <o:lock v:ext="edit"/>
              <v:textbox inset="0mm,0mm,0mm,0mm" style="mso-fit-shape-to-text:t;">
                <w:txbxContent>
                  <w:p>
                    <w:pPr>
                      <w:pStyle w:val="6"/>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asciiTheme="minorEastAsia" w:hAnsiTheme="minorEastAsia" w:cstheme="minorEastAsia"/>
                        <w:sz w:val="24"/>
                        <w:szCs w:val="24"/>
                      </w:rPr>
                      <w:t>1</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4FF10FC"/>
    <w:rsid w:val="D4FF1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Header or footer|1"/>
    <w:basedOn w:val="1"/>
    <w:qFormat/>
    <w:uiPriority w:val="0"/>
    <w:rPr>
      <w:sz w:val="20"/>
      <w:szCs w:val="20"/>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2023-03-06T11:24:00Z</dcterms:created>
  <dc:creator>gxxc</dc:creator>
  <cp:lastModifiedBy>gxxc</cp:lastModifiedBy>
  <dcterms:modified xsi:type="dcterms:W3CDTF">2023-03-06T11:26:05Z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